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24SM0079P</RECORD_ID>
  <DESCR>MATERIAL ELECTROFISIOLOGIA - INCLOU CESSIÓ D'EQUIPS</DESCR>
  <TOTALAMOUNT>291.332,60</TOTALAMOUNT>
  <BATCHES>
    <BATCH>
      <BATCHID>E.FISIO-01</BATCHID>
      <DESCR>CATÉTER DIAGNÓSTICO Y ABLACIÓN</DESCR>
      <AMOUNT>212.033,93</AMOUNT>
      <MATERIALS>
        <MATERIAL>
          <MATNR>10244</MATNR>
          <MAKTX>Catéter diagnóstico para electrofisiología 5F, tetrapolar, estéril unitario, curva Cournand o similar, con distancia interelectrodo de 5 mm, longitud del catéter igual o superior a 90 cm. Ha de disponer de las características de maniobrabilidad y estabilidad del catéter, el tipo de conectores, la presencia de punta distal blanda (que debe incluir electrodo)..
</MAKTX>
          <QUANTITY>50</QUANTITY>
          <TECHTEXT> </TECHTEXT>
        </MATERIAL>
        <MATERIAL>
          <MATNR>10245</MATNR>
          <MAKTX>Catéter diagnóstico para electrofisiología 6f, tetrapolar deflectable para manejo en aurícula derecha, estéril, unitario, con longitud del catéter igual o superior a 110 cm. Mango tipo pistón. ha disponer de las siguienets caracteristicas, el tipo de conectores, la presencia de punta distal con electrodo inactivo y progresable a seno coronario, de curvatura adaptable y la disponibilidad en 6fr y la variabilidad en el espaciado de electrodos.</MAKTX>
          <QUANTITY>12</QUANTITY>
          <TECHTEXT> </TECHTEXT>
        </MATERIAL>
        <MATERIAL>
          <MATNR>10246</MATNR>
          <MAKTX>Catéter diagnóstico para electrofisiología 6f, decapolar deflectable para manejo habitualmente en seno coronario, estéril unitario, con longitud del catéter igual o superior a 90 cm. Mango tipo pistón. Tienen que dispone cateters adicionales de 4f y 5f, el tipo de conectores, la presencia de punta distal blanda (que tiene que Incluir electrodo) y de curvatura adaptable.</MAKTX>
          <QUANTITY>30</QUANTITY>
          <TECHTEXT> </TECHTEXT>
        </MATERIAL>
        <MATERIAL>
          <MATNR>10247</MATNR>
          <MAKTX>Catéter para ablación en procedimientos de electrofisiología, 7F,tetrapolar, espaciado 2-5-2 mm y electrodo distal de 4 mm y resto de 2mm. Longitud igual o superior a 90 cm, estéril, unitario. Mango tipo pistón. tienen que disponer del catéter también en 5Fr, las características de maniobrabilidad, flexibilidad estabilidad del catéter, el tipo de conectores, la presencia de punta distal blanda (que tiene que incluir electrodo), presencia de sensor centrado en el interior de la punta del catéter. tiene que incluir sensor de temperatura termopar e impedancia, curvatura aproximada de 17 a 29mm.
</MAKTX>
          <QUANTITY>10</QUANTITY>
          <TECHTEXT> </TECHTEXT>
        </MATERIAL>
        <MATERIAL>
          <MATNR>10248</MATNR>
          <MAKTX>Catéter para ablación irrigada en procedimientos de electrofisiología, 7f, tetrapolar, espaciado 1,5-5-2 mm y electrodo distal de 4 mm y resto de 1mm, longitud igual o superior a 90 cm, estéril, unitario. Mango tipo pistón. El catéter tiene que disponer de múltiples puertos de irrigación, las características de maniobrabilidad, flexibilidad y estabilidad del catéter, el tipo de conectores, la presencia de punta distal blanda (que tiene que incluir electrodo). Tiene que incluir sensor de temperatura termopar e impedancia. Curvatura aproximada de 30 a 50 mm. de espaciado en punta inferior a 1mm. Estéril y unitario.</MAKTX>
          <QUANTITY>24</QUANTITY>
          <TECHTEXT> </TECHTEXT>
        </MATERIAL>
        <MATERIAL>
          <MATNR>11132</MATNR>
          <MAKTX>Catéter diagnóstico tipo cuadrícula de mapeo intracardíaco de alta densidad, apto para la creación de geometría, mapeo y confirmación de bloqueo eléctrico intracardíaco. Específico del sistema de navegación, con recogida de datos magnéticos y de impedancia. Espacios equidistantes de 3mm con registro bipolar de cada electrodo. 16 + 2 electrodos de 1 mm, dimensiones 13 x 13 mm2. Longitud del catéter 105 cm.
*** El fabricante ha a dejar la consola de navegación intracardíaca, con software de última generación disponible. ***
</MAKTX>
          <QUANTITY>6</QUANTITY>
          <TECHTEXT> </TECHTEXT>
        </MATERIAL>
        <MATERIAL>
          <MATNR>11133</MATNR>
          <MAKTX>Catéter para ablación irrigada en procedimientos de electrofisiología, con fuerza de contacto, 8f, tetrapolar, espaciado 2-2-2 mm y electrodo distal de 4 mm, longitud igual o superior a 115 cm, estéril, unitario, uni o bidireccional. Específico del sistema de navegación. Apto para la creación de geometría, mapeo y confirmación de bloqueo eléctrico intracardíaco. Sensor de fuerza con tecnología de fibra óptica y con parámetros de índice de integral bastante tiempo, y índice de lesiones. Curvas D, F y J. Tiene que dispone del catéter con múltiples puertos de irrigación, las características de maniobrabilidad, flexibilidad y estabilidad del catéter, el tipo de conectores, la presencia de punta distal blanda (que tiene que incluir electrodo). Tiene que incluir sensor de temperatura termopar e impedancia. la flexibilidad de la punta cortada con láser y la posibilidad de espaciado en punta inferior a 1mm, así como la visualización de la fuerza de alta resolución en tiempo real, con compensación térmica y sin interferencias con otros catéteres.
Se ha de dar asistencia técnica en quirófano y asistencia técnica en control de seguimiento, cuando se solicite.
*** Ha dejar en cesión la consola de navegación intracardíaca, con software de última generación disponible.***</MAKTX>
          <QUANTITY>6</QUANTITY>
          <TECHTEXT> </TECHTEXT>
        </MATERIAL>
        <MATERIAL>
          <MATNR>11139</MATNR>
          <MAKTX>Aguja para acceso transeptal, con ángulo biselado de 50 grados, ángulo
primario biselado más pronunciado y otros dos bordes biselados
posteriores formando una punta aguda en el extremo de la aguja. Calibre
18. Longitud de la aguja de 71 a 98 cm. Varias curvas disponibles.</MAKTX>
          <QUANTITY>22</QUANTITY>
          <TECHTEXT> </TECHTEXT>
        </MATERIAL>
        <MATERIAL>
          <MATNR>11140</MATNR>
          <MAKTX>Vaina fija trenzada para acceso transeptal, con doble curvatura, 8-8.5 F,
con válvula hemostática y puerto lateral, dilatador y guía extra rígida de
180 cm con punta en J de 3 mm. Longitud de 63 cm y de 67 cm con
dilatador para acceso de aguja transeptal. tiene que disponer de punta extra blanda
para limitar traumatismo, varias curvas disponibles (50-180.º asociado
a curvatura bidimensional variable de 35-50°), facilidad de torsión,
avance y estabilidad del catéter.</MAKTX>
          <QUANTITY>24</QUANTITY>
          <TECHTEXT> </TECHTEXT>
        </MATERIAL>
        <MATERIAL>
          <MATNR>11141</MATNR>
          <MAKTX>Vaina fija trenzada para cavidades derechas, con doble curvatura, 8-8.5 F, con válvula hemostática y puerto lateral, dilatador y guía extra rígida de 145 cm con punta en J de 3 mm. Longitud de 63 cm. La punta tiene que ser extra blanda para limitar traumatismo, varias curvas disponibles (45-180° asociado a curvatura bidimensional de 50°). Estéril y unitario.</MAKTX>
          <QUANTITY>2</QUANTITY>
          <TECHTEXT> </TECHTEXT>
        </MATERIAL>
        <MATERIAL>
          <MATNR>11142</MATNR>
          <MAKTX>Vaina dirigible trenzada para acceso transeptal, 8.5 F, con válvula
hemostática y puerto lateral. Deflexión bidireccional y marcador
radiopaco de punta. Dilatador y guía extra rígida de 180 cm con punta en
J de 3 mm. Longitud de 71 cm con dilatador para acceso de aguja
transeptal. Tiene que disponer de punta extra blanda para limitar traumatismo</MAKTX>
          <QUANTITY>2</QUANTITY>
          <TECHTEXT> </TECHTEXT>
        </MATERIAL>
        <MATERIAL>
          <MATNR>11185</MATNR>
          <MAKTX>Vaina de canalización con doble curva en 3 dimensiones, de longitud
funcional igual o superior a 42 cm y con marcadores fluoroscopicos.
Estéril y unitario.
</MAKTX>
          <QUANTITY>10</QUANTITY>
          <TECHTEXT> </TECHTEXT>
        </MATERIAL>
        <MATERIAL>
          <MATNR>100001794</MATNR>
          <MAKTX>Cable conexión para catéter diagnóstico tetrapolar. Unitario.</MAKTX>
          <QUANTITY>5</QUANTITY>
          <TECHTEXT> </TECHTEXT>
        </MATERIAL>
        <MATERIAL>
          <MATNR>100001795</MATNR>
          <MAKTX>Cable conexión para catéter diagnóstico decapolar. Unitario.</MAKTX>
          <QUANTITY>5</QUANTITY>
          <TECHTEXT> </TECHTEXT>
        </MATERIAL>
        <MATERIAL>
          <MATNR>100001796</MATNR>
          <MAKTX>Cable conexión para catéter diagnóstico tipo cuadrícula de mapeo intracardiaco de alta densidad. Unitario.</MAKTX>
          <QUANTITY>2</QUANTITY>
          <TECHTEXT> </TECHTEXT>
        </MATERIAL>
        <MATERIAL>
          <MATNR>100001797</MATNR>
          <MAKTX>Cable conexión para catéter ablación tetrapolar no irrigado. unitario.</MAKTX>
          <QUANTITY>5</QUANTITY>
          <TECHTEXT> </TECHTEXT>
        </MATERIAL>
        <MATERIAL>
          <MATNR>100002496</MATNR>
          <MAKTX>Parches de navegación para la creación de geometría, mapeo y confirmación de bloqueo eléctrico intracardiaco. Recogida de datos magnéticos y de impedancia, así como la posibilidad de añadir catéter con sensor de fuerza. Se tiene que dar sorpote en asistencia técnica, cuando se solicite.
**Se tiene que dejar en cesión la consola de navegación intracardíaca, con software de última generación disponible.***</MAKTX>
          <QUANTITY>70</QUANTITY>
          <TECHTEXT> </TECHTEXT>
        </MATERIAL>
        <MATERIAL>
          <MATNR>100004744</MATNR>
          <MAKTX>Set conexión de tubos para conexión de la bomba de irrigación de
electrofisiología. estéril.
</MAKTX>
          <QUANTITY>39</QUANTITY>
          <TECHTEXT> </TECHTEXT>
        </MATERIAL>
        <MATERIAL>
          <MATNR>100035513</MATNR>
          <MAKTX>Catéter de ecografía intracardiaca deflectable compatible con consola
Phillips.</MAKTX>
          <QUANTITY>22</QUANTITY>
          <TECHTEXT> </TECHTEXT>
        </MATERIAL>
        <MATERIAL>
          <MATNR>100038938</MATNR>
          <MAKTX>Cable conexión para catéter ablación tetrapolar irrigado. unitario</MAKTX>
          <QUANTITY>5</QUANTITY>
          <TECHTEXT> </TECHTEXT>
        </MATERIAL>
        <MATERIAL>
          <MATNR>100038939</MATNR>
          <MAKTX>Cable conexión para catéter ablación tetrapolar con fuerza de contacto
irrigado. Unitario</MAKTX>
          <QUANTITY>2</QUANTITY>
          <TECHTEXT> </TECHTEXT>
        </MATERIAL>
      </MATERIALS>
    </BATCH>
    <BATCH>
      <BATCHID>E.FISIO-02</BATCHID>
      <DESCR>CATÉTER DIAGNÓSTICO Y ABLACIÓN</DESCR>
      <AMOUNT>28.806,06</AMOUNT>
      <MATERIALS>
        <MATERIAL>
          <MATNR>11131</MATNR>
          <MAKTX>Catéter diagnóstico circular de mapeo intracardíaco compatible con los catéteres para crioablación. Diámetro de circunferencia de 15 a 25 mm, 8-10 electrodos de 1mm de longitud, separación 4-6 mm. Longitud de catéter 165 cm. Unidireccional, estéril, unitario. Se tiene que dar asistencia técnica en quirófano, asistencia técnica en control de seguimiento cuando se solicite.
****tiene que dejar en cessión la consola de crioterapia****</MAKTX>
          <QUANTITY>6</QUANTITY>
          <TECHTEXT> </TECHTEXT>
        </MATERIAL>
        <MATERIAL>
          <MATNR>11134</MATNR>
          <MAKTX>Catéter balón para crioablación en procedimientos de electrofisiología, 10.5F, con balón de 23 o 28 mm de diámetro máximo, punta distal de 8 mm, de 140 cm de largo o más, curvatura bidireccional 45º, estéril, unitario.
</MAKTX>
          <QUANTITY>6</QUANTITY>
          <TECHTEXT> </TECHTEXT>
        </MATERIAL>
        <MATERIAL>
          <MATNR>11135</MATNR>
          <MAKTX>Catéter para crioablación focal en procedimientos de electrofisiología, 7F, tetrapolar, deflectable, para ablación por crioterapia, de un solo uso. Punta de 6 mm, con varias curvaturas disponibles, largo de 108 cm.</MAKTX>
          <QUANTITY>2</QUANTITY>
          <TECHTEXT> </TECHTEXT>
        </MATERIAL>
        <MATERIAL>
          <MATNR>11136</MATNR>
          <MAKTX>Catéter introductor percutáneo para catéter balón de crioablación, provisto de una válvula hemostática, dilatador, banda marcadora y mecanismo deflectable. Curvatura máxima de 135 grados, diámetro interno de 12 F, diámetro externo de 15 f, longitud total 81 cm.</MAKTX>
          <QUANTITY>6</QUANTITY>
          <TECHTEXT> </TECHTEXT>
        </MATERIAL>
        <MATERIAL>
          <MATNR>100038841</MATNR>
          <MAKTX>Cable coaxial umbilical para conexión de catéter de crioablación</MAKTX>
          <QUANTITY>6</QUANTITY>
          <TECHTEXT> </TECHTEXT>
        </MATERIAL>
        <MATERIAL>
          <MATNR>100038842</MATNR>
          <MAKTX>Cable eléctrico umbilical para conexión de catéter de crioablación</MAKTX>
          <QUANTITY>6</QUANTITY>
          <TECHTEXT> </TECHTEXT>
        </MATERIAL>
        <MATERIAL>
          <MATNR>100038843</MATNR>
          <MAKTX>Cable eléctrico para conexión de catéter diagnóstico circular de mapeo
intracardiaco compatible con los catéteres para crioablación</MAKTX>
          <QUANTITY>6</QUANTITY>
          <TECHTEXT> </TECHTEXT>
        </MATERIAL>
      </MATERIALS>
    </BATCH>
    <BATCH>
      <BATCHID>E.FISIO-03</BATCHID>
      <DESCR>CATÉTER DIAGNÓSTICO Y ABLACIÓN</DESCR>
      <AMOUNT>18.910,09</AMOUNT>
      <MATERIALS>
        <MATERIAL>
          <MATNR>10239</MATNR>
          <MAKTX>Catéter diagnóstico para electrofisiología 5F, tetrapolar, estéril, unitario, curva Josephson o similar, con distancia interelectrodo de 5mm, longitud del catéter igual o superior a 90 cm. Tiene que dispone de las siguientes características de maniobrabilidad y estabilidad del catéter, el tipo de conectores, tiene que disponer de punta distal blanda (que tiene que incluir electrodo).</MAKTX>
          <QUANTITY>10</QUANTITY>
          <TECHTEXT> </TECHTEXT>
        </MATERIAL>
        <MATERIAL>
          <MATNR>10243</MATNR>
          <MAKTX>Catéter por ablación en procedimientos electrofisiología, 7F, tetrapolar, punta de 4 mm, longitud igual o superior a 90 cm, estéril, unitario. Tiene que incluir sensor de temperatura e impedancia y disponer del catéter de 5F, el tipo de conectores, la presencia de punta distal blanda (que tiene que incluir electrodo), curvatura adaptable y de múltiplano.
</MAKTX>
          <QUANTITY>12</QUANTITY>
          <TECHTEXT> </TECHTEXT>
        </MATERIAL>
        <MATERIAL>
          <MATNR>11137</MATNR>
          <MAKTX>Catéter para ablación irrigada en procedimientos de electrofisiología, 7.5F, tetrapolar, con tres microelectrodos espaciados de 2.4mm, electrodo distal de 4.5 mm, longitud igual o superior a 110 cm, curvatura bidireccional, estéril, unitario. Mango tipo pistón. Tiene que disponer del catéter con múltiples puertos de irrigación, las características de maniobrabilidad, flexibilidad y estabilidad del catéter, el tipo de conectores, la presencia de punta distal blanda (que tiene que incluir electrodo). Tiene que incluir sensor de temperatura termopar, impedancia y la posibilidad de espaciado en punta inferior a 1mm.</MAKTX>
          <QUANTITY>4</QUANTITY>
          <TECHTEXT> </TECHTEXT>
        </MATERIAL>
        <MATERIAL>
          <MATNR>100001798</MATNR>
          <MAKTX>Cable conexión para catéter diagnóstico tetrapolar compatible con fuente
Ampere RF (Abbott). unitario</MAKTX>
          <QUANTITY>4</QUANTITY>
          <TECHTEXT> </TECHTEXT>
        </MATERIAL>
        <MATERIAL>
          <MATNR>100001811</MATNR>
          <MAKTX>Cable conexión para catéter ablación 4mm tetrapolar compatible con
fuente Ampere RF (Abbott). unitario.</MAKTX>
          <QUANTITY>3</QUANTITY>
          <TECHTEXT> </TECHTEXT>
        </MATERIAL>
        <MATERIAL>
          <MATNR>100038844</MATNR>
          <MAKTX>Cable conexión para catéter ablación irrigado tetrapolar con
microelectrodos compatible con fuente Ampere RF (Abbott). unitario</MAKTX>
          <QUANTITY>2</QUANTITY>
          <TECHTEXT> </TECHTEXT>
        </MATERIAL>
      </MATERIALS>
    </BATCH>
    <BATCH>
      <BATCHID>E.FISIO-04</BATCHID>
      <DESCR>CATÉTER DIAGNÓSTICO Y ABLACIÓN</DESCR>
      <AMOUNT>26.320,12</AMOUNT>
      <MATERIALS>
        <MATERIAL>
          <MATNR>10479</MATNR>
          <MAKTX>Catéter diagnóstico deflectable tetrapolar de 6French y 4 electrodos de platinio/iridio de 110cm de longitud. Alta estabilidad lateral de la punta. Ha de disponer de las siguientes características de maniobrabilidad y estabilidad, el tipo de conectores, la disponibilidad de diversos números de electrodos, el material de recubrimiento y el tipo de fijación, sistema de autobloqueo
.</MAKTX>
          <QUANTITY>10</QUANTITY>
          <TECHTEXT> </TECHTEXT>
        </MATERIAL>
        <MATERIAL>
          <MATNR>10480</MATNR>
          <MAKTX>Catéter irrigado de ablación por radiofrecuencia irrigado por 12 orificios en 3 planes diferentes, longitud de 110cm. 7French, espaciado entre electrodos 2-5-2 y electrodos de oro con punta de 3,5mm. Desviación en curva cerrada de 270°, con mecánica flexible de transferencia de movimiento 1:1. Ha disponer de las siguientes características de maniobrabilidad, estabilidad, tipo de conectores, tipos de punta y conductividad de esta, curvaturas y longitudes disponibles con radio de alcance entre 48-80 mm, relación de limpio y estabilidad de la curva, distancias interelectrodos y características de irrigación. Estéril y unitario</MAKTX>
          <QUANTITY>8</QUANTITY>
          <TECHTEXT> </TECHTEXT>
        </MATERIAL>
        <MATERIAL>
          <MATNR>10481</MATNR>
          <MAKTX>Catéter de ablación por radiofrecuencia de 110cm de  7fr, tetrapolar, espaciado entre electrodos 2-5-2mm y electrodos con recubrimiento de oro con punta de 4mm. Desviación en curva cerrada de 270°. Mecánica flexible transferencia de movimiento 1:1. Debe de incluir sensor temperatura e impedancia. Ha de disponer de  las características de maniobrabilidad, estabilidad, tipo de conectores, tipo de punta y conductividad de la misma, curvaturas y longitudes disponibles con radio de alcance entre 48-80 mm, relación de torque y estabilidad de la curva, distancias interelectrodos. Estéril y unitario.
</MAKTX>
          <QUANTITY>6</QUANTITY>
          <TECHTEXT> </TECHTEXT>
        </MATERIAL>
        <MATERIAL>
          <MATNR>10482</MATNR>
          <MAKTX>Catéter de diagnóstico tetrapolar 5F. Estéril y unitario. Curva fija con punta atraumática platinio/iridio disponible en varias longitudes entre 80cm ó 100cm. Disponibilidad de espaciado entre electrodos de 5mm o de 2-5-2mm. Ha de disponer la medidas  en otros frenchs, las características de maniobrabilidad, estabilidad, tipo de conector y relación de torque 1:1.</MAKTX>
          <QUANTITY>10</QUANTITY>
          <TECHTEXT> </TECHTEXT>
        </MATERIAL>
        <MATERIAL>
          <MATNR>11138</MATNR>
          <MAKTX>Catéter diagnóstico deflectable decapolar de 6French y 10 electrodos de platino/iridio de 110cm de longitud. Disponibilidad de espaciado entre electrodos de 2-6-2, 2-8-2, 2-10-2mm. Disponible en 3 curvas: standard, large y extra large. Alta estabilidad lateral de la punta. Tiene que disponer de las características de maniobrabilidad y estabilidad, el tipo de conectores, la disponibilidad de varios números de electrodos, el material de recubrimiento y el tipo de fijación, sistema de autobloqueo</MAKTX>
          <QUANTITY>15</QUANTITY>
          <TECHTEXT> </TECHTEXT>
        </MATERIAL>
        <MATERIAL>
          <MATNR>100038845</MATNR>
          <MAKTX>Cable conexión para catéter diagnóstico tetrapolar compatible con fuente Ampere RF (Abbott). unitario.</MAKTX>
          <QUANTITY>3</QUANTITY>
          <TECHTEXT> </TECHTEXT>
        </MATERIAL>
        <MATERIAL>
          <MATNR>100038846</MATNR>
          <MAKTX>Cable conexión para catéter diagnóstico decapolar compatible con fuente Ampere RF (Abbott). unitario.</MAKTX>
          <QUANTITY>3</QUANTITY>
          <TECHTEXT> </TECHTEXT>
        </MATERIAL>
        <MATERIAL>
          <MATNR>100038847</MATNR>
          <MAKTX>Cable conexión para catéter ablación 4mm tetrapolar compatible con fuente Ampere RF (Abbott). unitario.</MAKTX>
          <QUANTITY>3</QUANTITY>
          <TECHTEXT> </TECHTEXT>
        </MATERIAL>
        <MATERIAL>
          <MATNR>100038848</MATNR>
          <MAKTX>Cable conexión para catéter ablación irrigado compatible con fuente Ampere RF (Abbott). unitario.</MAKTX>
          <QUANTITY>3</QUANTITY>
          <TECHTEXT> </TECHTEXT>
        </MATERIAL>
      </MATERIALS>
    </BATCH>
    <BATCH>
      <BATCHID>E.FISIO-05</BATCHID>
      <DESCR>INTRODUCTORES ELECTROFISIOLOGIA</DESCR>
      <AMOUNT>5.262,40</AMOUNT>
      <MATERIALS>
        <MATERIAL>
          <MATNR>100035504</MATNR>
          <MAKTX>Introductor vascular de 16fr con dilatador, largo de vaina variable
entre 25-35 cm de largo. valvulado. Estéril y unitario.</MAKTX>
          <QUANTITY>16</QUANTITY>
          <TECHTEXT> </TECHTEXT>
        </MATERIAL>
        <MATERIAL>
          <MATNR>100035551</MATNR>
          <MAKTX>Catéter dilatador 14f, con largo variable entre 18-20cm de largo de
vaina. Estéril y unitario. 
</MAKTX>
          <QUANTITY>16</QUANTITY>
          <TECHTEXT> </TECHTEXT>
        </MATERIAL>
        <MATERIAL>
          <MATNR>100038949</MATNR>
          <MAKTX>Introductor vascular de 10fr con dilatador, largo de vaina variable
entre 35 y 45 cm de largo. valvulado. Estéril i unitario. 
</MAKTX>
          <QUANTITY>22</QUANTITY>
          <TECHTEXT> </TECHTEXT>
        </MATERIAL>
      </MATERIALS>
    </BATCH>
  </BATCHES>
</data>
</file>

<file path=customXml/itemProps1.xml><?xml version="1.0" encoding="utf-8"?>
<ds:datastoreItem xmlns:ds="http://schemas.openxmlformats.org/officeDocument/2006/customXml" xmlns:xs="http://www.w3.org/2001/XMLSchema" ds:itemID="{00505685-7FA5-1FE0-82F9-E4D6C171805C}">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